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4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794"/>
        <w:gridCol w:w="2268"/>
        <w:gridCol w:w="4394"/>
      </w:tblGrid>
      <w:tr>
        <w:trPr/>
        <w:tc>
          <w:tcPr>
            <w:tcW w:w="3794" w:type="dxa"/>
            <w:tcBorders/>
          </w:tcPr>
          <w:p>
            <w:pPr>
              <w:pStyle w:val="-EnteteRapporteurGEDA"/>
              <w:widowControl/>
              <w:overflowPunct w:val="false"/>
              <w:autoSpaceDE w:val="false"/>
              <w:bidi w:val="0"/>
              <w:spacing w:before="60" w:after="240"/>
              <w:jc w:val="center"/>
              <w:textAlignment w:val="baseline"/>
              <w:rPr/>
            </w:pPr>
            <w:r>
              <w:rPr/>
              <w:t>POLYNESIE FRANçAISE</w:t>
            </w:r>
          </w:p>
          <w:p>
            <w:pPr>
              <w:pStyle w:val="-EnteteRapporteurGEDA"/>
              <w:rPr/>
            </w:pPr>
            <w:r>
              <w:rPr/>
              <w:t>MinistÈre</w:t>
              <w:br/>
              <w:t>de L’ÉDUCATION,</w:t>
              <w:br/>
              <w:t>de l’enseignement supÉrieur</w:t>
              <w:br/>
            </w:r>
            <w:r>
              <w:rPr>
                <w:iCs/>
                <w:caps w:val="false"/>
                <w:smallCaps w:val="false"/>
              </w:rPr>
              <w:t>ET DE LA CULTURE</w:t>
            </w:r>
          </w:p>
          <w:p>
            <w:pPr>
              <w:pStyle w:val="-EnteteExpditeurGEDA"/>
              <w:spacing w:before="240" w:after="0"/>
              <w:rPr/>
            </w:pPr>
            <w:bookmarkStart w:id="0" w:name="lettre_expediteur"/>
            <w:r>
              <w:rPr/>
              <w:t>Le Ministre</w:t>
            </w:r>
            <w:bookmarkEnd w:id="0"/>
          </w:p>
        </w:tc>
        <w:tc>
          <w:tcPr>
            <w:tcW w:w="2268" w:type="dxa"/>
            <w:tcBorders/>
          </w:tcPr>
          <w:p>
            <w:pPr>
              <w:pStyle w:val="Normal"/>
              <w:tabs>
                <w:tab w:val="clear" w:pos="709"/>
                <w:tab w:val="center" w:pos="1843" w:leader="none"/>
                <w:tab w:val="left" w:pos="6237" w:leader="none"/>
              </w:tabs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394" w:type="dxa"/>
            <w:tcBorders/>
          </w:tcPr>
          <w:p>
            <w:pPr>
              <w:pStyle w:val="Normal"/>
              <w:tabs>
                <w:tab w:val="clear" w:pos="709"/>
                <w:tab w:val="center" w:pos="1843" w:leader="none"/>
                <w:tab w:val="left" w:pos="6237" w:leader="none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Délibération n° </w:t>
            </w:r>
            <w:r>
              <w:rPr>
                <w:rFonts w:cs="Times New Roman" w:ascii="Times New Roman" w:hAnsi="Times New Roman"/>
                <w:b/>
                <w:sz w:val="24"/>
                <w:szCs w:val="24"/>
                <w:highlight w:val="yellow"/>
              </w:rPr>
              <w:t>XXXXX</w:t>
            </w:r>
          </w:p>
          <w:p>
            <w:pPr>
              <w:pStyle w:val="Normal"/>
              <w:tabs>
                <w:tab w:val="clear" w:pos="709"/>
                <w:tab w:val="center" w:pos="1843" w:leader="none"/>
                <w:tab w:val="left" w:pos="6237" w:leader="none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9"/>
                <w:tab w:val="center" w:pos="1843" w:leader="none"/>
                <w:tab w:val="left" w:pos="6237" w:leader="none"/>
              </w:tabs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du </w:t>
            </w:r>
            <w:r>
              <w:rPr>
                <w:rFonts w:cs="Times New Roman" w:ascii="Times New Roman" w:hAnsi="Times New Roman"/>
                <w:b/>
                <w:sz w:val="24"/>
                <w:szCs w:val="24"/>
                <w:highlight w:val="yellow"/>
              </w:rPr>
              <w:t>(date du CE)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</w:t>
            </w:r>
          </w:p>
          <w:p>
            <w:pPr>
              <w:pStyle w:val="Normal"/>
              <w:tabs>
                <w:tab w:val="clear" w:pos="709"/>
                <w:tab w:val="center" w:pos="1843" w:leader="none"/>
                <w:tab w:val="left" w:pos="6237" w:leader="none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9"/>
                <w:tab w:val="center" w:pos="1843" w:leader="none"/>
                <w:tab w:val="left" w:pos="6237" w:leader="none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autorisant le </w:t>
            </w: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  <w:t>(principal ou proviseur de l’établissement)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à recruter des agents </w:t>
            </w: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  <w:t>dans le cadre du dispositif éducatif d’aide de prévention (DEAP) ou dans le cadre de la mise en place d’une surveillance de baignade en milieu lagonaire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au titre de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l’année scolaire </w:t>
            </w:r>
            <w:r>
              <w:rPr>
                <w:rFonts w:cs="Times New Roman" w:ascii="Times New Roman" w:hAnsi="Times New Roman"/>
                <w:b/>
                <w:sz w:val="24"/>
                <w:szCs w:val="24"/>
                <w:highlight w:val="yellow"/>
              </w:rPr>
              <w:t>201X-201XX</w:t>
            </w:r>
          </w:p>
          <w:p>
            <w:pPr>
              <w:pStyle w:val="Normal"/>
              <w:tabs>
                <w:tab w:val="clear" w:pos="709"/>
                <w:tab w:val="center" w:pos="1843" w:leader="none"/>
                <w:tab w:val="left" w:pos="6237" w:leader="none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</w:tbl>
    <w:p>
      <w:pPr>
        <w:pStyle w:val="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LE CONSEIL D'ETABLISSEMENT </w:t>
      </w:r>
      <w:r>
        <w:rPr>
          <w:rFonts w:cs="Times New Roman" w:ascii="Times New Roman" w:hAnsi="Times New Roman"/>
          <w:b/>
          <w:sz w:val="24"/>
          <w:szCs w:val="24"/>
          <w:highlight w:val="yellow"/>
        </w:rPr>
        <w:t>(INTITULE DE L’ETABLISSEMENT)</w:t>
      </w:r>
    </w:p>
    <w:p>
      <w:pPr>
        <w:pStyle w:val="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ind w:hanging="426" w:start="284" w:end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VU</w:t>
        <w:tab/>
      </w:r>
      <w:r>
        <w:rPr>
          <w:rFonts w:cs="Times New Roman" w:ascii="Times New Roman" w:hAnsi="Times New Roman"/>
        </w:rPr>
        <w:t>la loi organique n° 2004-192 du 27 février 2004 modifiée, portant statut d'autonomie de la Polynésie française, ensemble la loi n° 2004-193 du 27 février 2004 complétant le statut d'autonomie de la Polynésie française ;</w:t>
      </w:r>
    </w:p>
    <w:p>
      <w:pPr>
        <w:pStyle w:val="Normal"/>
        <w:spacing w:before="120" w:after="0"/>
        <w:ind w:hanging="426" w:start="284" w:end="0"/>
        <w:jc w:val="both"/>
        <w:rPr/>
      </w:pPr>
      <w:r>
        <w:rPr>
          <w:rFonts w:cs="Times New Roman" w:ascii="Times New Roman" w:hAnsi="Times New Roman"/>
          <w:b/>
        </w:rPr>
        <w:t>VU</w:t>
      </w:r>
      <w:r>
        <w:rPr>
          <w:rFonts w:cs="Times New Roman" w:ascii="Times New Roman" w:hAnsi="Times New Roman"/>
        </w:rPr>
        <w:t xml:space="preserve"> </w:t>
        <w:tab/>
        <w:t>la délibération n° 88-145 AT du 20 octobre 1988 modifiée, portant création des établissements publics d'enseignement de la Polynésie française du premier et second cycle du second degré ;</w:t>
      </w:r>
    </w:p>
    <w:p>
      <w:pPr>
        <w:pStyle w:val="Normal"/>
        <w:spacing w:before="120" w:after="0"/>
        <w:ind w:hanging="426" w:start="284" w:end="0"/>
        <w:jc w:val="both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VU </w:t>
        <w:tab/>
      </w:r>
      <w:r>
        <w:rPr>
          <w:rFonts w:cs="Times New Roman" w:ascii="Times New Roman" w:hAnsi="Times New Roman"/>
        </w:rPr>
        <w:t>la délibération n° 95-205 AT du 23 novembre 1995 modifiée, portant adoption de la réglementation budgétaire, comptable et financière de la Polynésie française et de ses établissements publics ;</w:t>
      </w:r>
      <w:r>
        <w:rPr>
          <w:rFonts w:cs="Times New Roman" w:ascii="Times New Roman" w:hAnsi="Times New Roman"/>
          <w:b/>
        </w:rPr>
        <w:t xml:space="preserve"> </w:t>
      </w:r>
    </w:p>
    <w:p>
      <w:pPr>
        <w:pStyle w:val="Normal"/>
        <w:spacing w:before="120" w:after="0"/>
        <w:ind w:hanging="426" w:start="284" w:end="0"/>
        <w:jc w:val="both"/>
        <w:rPr/>
      </w:pPr>
      <w:r>
        <w:rPr>
          <w:rFonts w:cs="Times New Roman" w:ascii="Times New Roman" w:hAnsi="Times New Roman"/>
          <w:b/>
        </w:rPr>
        <w:t xml:space="preserve">VU </w:t>
        <w:tab/>
      </w:r>
      <w:r>
        <w:rPr>
          <w:rFonts w:cs="Times New Roman" w:ascii="Times New Roman" w:hAnsi="Times New Roman"/>
        </w:rPr>
        <w:t>l'arrêté n° 732/CM du 17 juin 1987 modifié, portant organisation administrative et financière des établissements publics d'enseignement de la Polynésie française ;</w:t>
      </w:r>
    </w:p>
    <w:p>
      <w:pPr>
        <w:pStyle w:val="Normal"/>
        <w:spacing w:before="120" w:after="0"/>
        <w:ind w:hanging="426" w:start="284" w:end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 xml:space="preserve">VU </w:t>
        <w:tab/>
      </w:r>
      <w:r>
        <w:rPr>
          <w:rFonts w:cs="Times New Roman" w:ascii="Times New Roman" w:hAnsi="Times New Roman"/>
        </w:rPr>
        <w:t>l’arrêté n° 895/CM du 12 juin 2014 modifié portant création, organisation et fonctionnement de la direction générale de l’éducation et des enseignements ;</w:t>
      </w:r>
    </w:p>
    <w:p>
      <w:pPr>
        <w:pStyle w:val="Normal"/>
        <w:spacing w:before="120" w:after="0"/>
        <w:ind w:hanging="426" w:start="284" w:end="0"/>
        <w:jc w:val="both"/>
        <w:rPr/>
      </w:pPr>
      <w:r>
        <w:rPr>
          <w:rFonts w:cs="Times New Roman" w:ascii="Times New Roman" w:hAnsi="Times New Roman"/>
          <w:b/>
        </w:rPr>
        <w:t xml:space="preserve">VU </w:t>
        <w:tab/>
      </w:r>
      <w:r>
        <w:rPr>
          <w:rFonts w:cs="Times New Roman" w:ascii="Times New Roman" w:hAnsi="Times New Roman"/>
        </w:rPr>
        <w:t>la convention Etat-Polynésie française n° 99-16 du 22 octobre 2016 relative à l'éducation entre la Polynésie française et l’Etat ;</w:t>
      </w:r>
    </w:p>
    <w:p>
      <w:pPr>
        <w:pStyle w:val="Normal"/>
        <w:ind w:start="-142" w:end="0"/>
        <w:jc w:val="both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ind w:start="-142" w:end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Après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en avoir délibéré dans sa séance du </w:t>
      </w:r>
      <w:r>
        <w:rPr>
          <w:rFonts w:cs="Times New Roman" w:ascii="Times New Roman" w:hAnsi="Times New Roman"/>
          <w:sz w:val="24"/>
          <w:szCs w:val="24"/>
          <w:highlight w:val="yellow"/>
        </w:rPr>
        <w:t>(date du CE)</w:t>
      </w:r>
    </w:p>
    <w:p>
      <w:pPr>
        <w:pStyle w:val="Normal"/>
        <w:ind w:start="-142" w:end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spacing w:val="60"/>
          <w:position w:val="-6"/>
          <w:sz w:val="26"/>
        </w:rPr>
      </w:pPr>
      <w:r>
        <w:rPr>
          <w:rFonts w:cs="Times New Roman" w:ascii="Times New Roman" w:hAnsi="Times New Roman"/>
          <w:b/>
          <w:spacing w:val="60"/>
          <w:position w:val="-6"/>
          <w:sz w:val="26"/>
        </w:rPr>
        <w:t>ADOPTE</w:t>
      </w:r>
    </w:p>
    <w:p>
      <w:pPr>
        <w:pStyle w:val="Normal"/>
        <w:rPr>
          <w:rFonts w:ascii="Times New Roman" w:hAnsi="Times New Roman" w:cs="Times New Roman"/>
          <w:b/>
          <w:spacing w:val="60"/>
          <w:position w:val="-5"/>
          <w:sz w:val="26"/>
        </w:rPr>
      </w:pPr>
      <w:r>
        <w:rPr>
          <w:rFonts w:cs="Times New Roman" w:ascii="Times New Roman" w:hAnsi="Times New Roman"/>
          <w:b/>
          <w:spacing w:val="60"/>
          <w:position w:val="-5"/>
          <w:sz w:val="26"/>
        </w:rPr>
      </w:r>
    </w:p>
    <w:p>
      <w:pPr>
        <w:pStyle w:val="Normal"/>
        <w:tabs>
          <w:tab w:val="clear" w:pos="709"/>
          <w:tab w:val="left" w:pos="1701" w:leader="none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ARTICLE 1er</w:t>
      </w:r>
      <w:r>
        <w:rPr>
          <w:rFonts w:cs="Times New Roman" w:ascii="Times New Roman" w:hAnsi="Times New Roman"/>
          <w:sz w:val="24"/>
          <w:szCs w:val="24"/>
        </w:rPr>
        <w:t xml:space="preserve"> :</w:t>
        <w:tab/>
        <w:t xml:space="preserve">Le </w:t>
      </w:r>
      <w:r>
        <w:rPr>
          <w:rFonts w:cs="Times New Roman" w:ascii="Times New Roman" w:hAnsi="Times New Roman"/>
          <w:sz w:val="24"/>
          <w:szCs w:val="24"/>
          <w:highlight w:val="yellow"/>
        </w:rPr>
        <w:t>(principal ou proviseur de l’établissement)</w:t>
      </w:r>
      <w:r>
        <w:rPr>
          <w:rFonts w:cs="Times New Roman" w:ascii="Times New Roman" w:hAnsi="Times New Roman"/>
          <w:sz w:val="24"/>
          <w:szCs w:val="24"/>
        </w:rPr>
        <w:t xml:space="preserve"> est autorisé à signer les contrats de travail pour le recrutement d’agents </w:t>
      </w:r>
      <w:r>
        <w:rPr>
          <w:rFonts w:cs="Times New Roman" w:ascii="Times New Roman" w:hAnsi="Times New Roman"/>
          <w:sz w:val="24"/>
          <w:szCs w:val="24"/>
          <w:highlight w:val="yellow"/>
        </w:rPr>
        <w:t>dans le cadre du dispositif éducatif d’aide de prévention (DEAP) ou dans le cadre de la mise en place d’une surveillance de baignade en milieu lagonaire</w:t>
      </w:r>
      <w:r>
        <w:rPr>
          <w:rFonts w:cs="Times New Roman" w:ascii="Times New Roman" w:hAnsi="Times New Roman"/>
          <w:sz w:val="24"/>
          <w:szCs w:val="24"/>
        </w:rPr>
        <w:t xml:space="preserve">, au titre de </w:t>
      </w:r>
      <w:r>
        <w:rPr>
          <w:rFonts w:cs="Times New Roman" w:ascii="Times New Roman" w:hAnsi="Times New Roman"/>
          <w:b/>
          <w:sz w:val="24"/>
          <w:szCs w:val="24"/>
        </w:rPr>
        <w:t xml:space="preserve">l’année scolaire </w:t>
      </w:r>
      <w:r>
        <w:rPr>
          <w:rFonts w:cs="Times New Roman" w:ascii="Times New Roman" w:hAnsi="Times New Roman"/>
          <w:b/>
          <w:sz w:val="24"/>
          <w:szCs w:val="24"/>
          <w:highlight w:val="yellow"/>
        </w:rPr>
        <w:t>201X-201XX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tabs>
          <w:tab w:val="clear" w:pos="709"/>
          <w:tab w:val="left" w:pos="1701" w:leader="none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1701" w:leader="none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ARTICLE 2 :</w:t>
      </w:r>
      <w:r>
        <w:rPr>
          <w:rFonts w:cs="Times New Roman" w:ascii="Times New Roman" w:hAnsi="Times New Roman"/>
          <w:sz w:val="24"/>
          <w:szCs w:val="24"/>
        </w:rPr>
        <w:tab/>
        <w:t xml:space="preserve">Le </w:t>
      </w:r>
      <w:r>
        <w:rPr>
          <w:rFonts w:cs="Times New Roman" w:ascii="Times New Roman" w:hAnsi="Times New Roman"/>
          <w:sz w:val="24"/>
          <w:szCs w:val="24"/>
          <w:highlight w:val="yellow"/>
        </w:rPr>
        <w:t>(principal ou proviseur de l’établissement)</w:t>
      </w:r>
      <w:r>
        <w:rPr>
          <w:rFonts w:cs="Times New Roman" w:ascii="Times New Roman" w:hAnsi="Times New Roman"/>
          <w:sz w:val="24"/>
          <w:szCs w:val="24"/>
        </w:rPr>
        <w:t xml:space="preserve"> est chargé de l’exécution de la présente délibération.</w:t>
      </w:r>
    </w:p>
    <w:p>
      <w:pPr>
        <w:pStyle w:val="Normal"/>
        <w:tabs>
          <w:tab w:val="clear" w:pos="709"/>
          <w:tab w:val="left" w:pos="1233" w:leader="none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6804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402"/>
        <w:gridCol w:w="3402"/>
      </w:tblGrid>
      <w:tr>
        <w:trPr/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1233" w:leader="none"/>
              </w:tabs>
              <w:spacing w:before="60" w:after="60"/>
              <w:ind w:start="284" w:end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Résultats du vote</w:t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1233" w:leader="none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Nombre</w:t>
            </w:r>
          </w:p>
        </w:tc>
      </w:tr>
      <w:tr>
        <w:trPr/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1233" w:leader="none"/>
              </w:tabs>
              <w:spacing w:before="60" w:after="60"/>
              <w:ind w:start="284" w:end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Nombre de membres du CE :</w:t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1233" w:leader="none"/>
              </w:tabs>
              <w:snapToGrid w:val="false"/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1233" w:leader="none"/>
              </w:tabs>
              <w:spacing w:before="60" w:after="60"/>
              <w:ind w:start="284" w:end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Quorum :</w:t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1233" w:leader="none"/>
              </w:tabs>
              <w:snapToGrid w:val="false"/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1233" w:leader="none"/>
              </w:tabs>
              <w:spacing w:before="60" w:after="60"/>
              <w:ind w:start="284" w:end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Suffrages exprimés :</w:t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1233" w:leader="none"/>
              </w:tabs>
              <w:snapToGrid w:val="false"/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1233" w:leader="none"/>
              </w:tabs>
              <w:spacing w:before="60" w:after="60"/>
              <w:ind w:start="284" w:end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Pour :</w:t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1233" w:leader="none"/>
              </w:tabs>
              <w:snapToGrid w:val="false"/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1233" w:leader="none"/>
              </w:tabs>
              <w:spacing w:before="60" w:after="60"/>
              <w:ind w:start="284" w:end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Contre :</w:t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1233" w:leader="none"/>
              </w:tabs>
              <w:snapToGrid w:val="false"/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1233" w:leader="none"/>
              </w:tabs>
              <w:spacing w:before="60" w:after="60"/>
              <w:ind w:start="284" w:end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Abstentions :</w:t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1233" w:leader="none"/>
              </w:tabs>
              <w:snapToGrid w:val="false"/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09"/>
          <w:tab w:val="left" w:pos="1233" w:leader="none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9"/>
          <w:tab w:val="left" w:pos="1233" w:leader="none"/>
          <w:tab w:val="left" w:pos="5670" w:leader="none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ab/>
        <w:t xml:space="preserve">A </w:t>
      </w:r>
      <w:r>
        <w:rPr>
          <w:rFonts w:cs="Times New Roman" w:ascii="Times New Roman" w:hAnsi="Times New Roman"/>
          <w:sz w:val="24"/>
          <w:szCs w:val="24"/>
          <w:highlight w:val="yellow"/>
        </w:rPr>
        <w:t>…………...</w:t>
      </w:r>
      <w:r>
        <w:rPr>
          <w:rFonts w:cs="Times New Roman" w:ascii="Times New Roman" w:hAnsi="Times New Roman"/>
          <w:sz w:val="24"/>
          <w:szCs w:val="24"/>
        </w:rPr>
        <w:t xml:space="preserve">, le </w:t>
      </w:r>
      <w:r>
        <w:rPr>
          <w:rFonts w:cs="Times New Roman" w:ascii="Times New Roman" w:hAnsi="Times New Roman"/>
          <w:sz w:val="24"/>
          <w:szCs w:val="24"/>
          <w:highlight w:val="yellow"/>
        </w:rPr>
        <w:t>(date du CE)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Un membre du Conseil d'établissement,</w:t>
        <w:tab/>
        <w:tab/>
        <w:t xml:space="preserve">         Le Président du Conseil d'établissement,</w:t>
      </w:r>
    </w:p>
    <w:sectPr>
      <w:headerReference w:type="default" r:id="rId2"/>
      <w:type w:val="nextPage"/>
      <w:pgSz w:w="11906" w:h="16596"/>
      <w:pgMar w:left="851" w:right="706" w:gutter="0" w:header="720" w:top="851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Times">
    <w:altName w:val="Times New Roman"/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/>
    </w:pPr>
    <w:r>
      <w:rPr/>
      <w:t>ANNEXE 1 (DEAP/SDB)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0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pStyle w:val="Heading3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0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0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0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0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0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0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doNotExpandShiftReturn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autoSpaceDE w:val="false"/>
      <w:bidi w:val="0"/>
      <w:textAlignment w:val="baseline"/>
    </w:pPr>
    <w:rPr>
      <w:rFonts w:ascii="Times" w:hAnsi="Times" w:eastAsia="Times New Roman" w:cs="Times"/>
      <w:color w:val="auto"/>
      <w:sz w:val="20"/>
      <w:szCs w:val="20"/>
      <w:lang w:val="fr-FR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480" w:after="0"/>
      <w:outlineLvl w:val="0"/>
    </w:pPr>
    <w:rPr>
      <w:rFonts w:ascii="Cambria" w:hAnsi="Cambria" w:eastAsia="Times New Roman" w:cs="Times New Roman"/>
      <w:b/>
      <w:bCs/>
      <w:color w:val="365F91"/>
      <w:sz w:val="28"/>
      <w:szCs w:val="28"/>
    </w:rPr>
  </w:style>
  <w:style w:type="paragraph" w:styleId="Heading3">
    <w:name w:val="Heading 3"/>
    <w:basedOn w:val="Normal"/>
    <w:next w:val="Retraitnormal1"/>
    <w:qFormat/>
    <w:pPr>
      <w:numPr>
        <w:ilvl w:val="2"/>
        <w:numId w:val="1"/>
      </w:numPr>
      <w:ind w:hanging="0" w:start="357" w:end="0"/>
      <w:outlineLvl w:val="2"/>
    </w:pPr>
    <w:rPr>
      <w:b/>
      <w:bCs/>
      <w:sz w:val="24"/>
      <w:szCs w:val="24"/>
    </w:rPr>
  </w:style>
  <w:style w:type="character" w:styleId="Policepardfaut">
    <w:name w:val="Police par défaut"/>
    <w:qFormat/>
    <w:rPr/>
  </w:style>
  <w:style w:type="character" w:styleId="Absatz-Standardschriftart">
    <w:name w:val="Absatz-Standardschriftart"/>
    <w:qFormat/>
    <w:rPr/>
  </w:style>
  <w:style w:type="character" w:styleId="Policepardfaut1">
    <w:name w:val="Police par défaut1"/>
    <w:qFormat/>
    <w:rPr/>
  </w:style>
  <w:style w:type="character" w:styleId="Titre1Car">
    <w:name w:val="Titre 1 Car"/>
    <w:qFormat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En-tteCar">
    <w:name w:val="En-tête Car"/>
    <w:qFormat/>
    <w:rPr>
      <w:rFonts w:ascii="Times" w:hAnsi="Times" w:cs="Times"/>
    </w:rPr>
  </w:style>
  <w:style w:type="character" w:styleId="PieddepageCar">
    <w:name w:val="Pied de page Car"/>
    <w:qFormat/>
    <w:rPr>
      <w:rFonts w:ascii="Times" w:hAnsi="Times" w:cs="Times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Arial" w:hAnsi="Arial" w:cs="Ari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Lgende">
    <w:name w:val="Légende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Rpertoire">
    <w:name w:val="Répertoire"/>
    <w:basedOn w:val="Normal"/>
    <w:qFormat/>
    <w:pPr>
      <w:suppressLineNumbers/>
    </w:pPr>
    <w:rPr/>
  </w:style>
  <w:style w:type="paragraph" w:styleId="Retraitnormal1">
    <w:name w:val="Retrait normal1"/>
    <w:basedOn w:val="Normal"/>
    <w:qFormat/>
    <w:pPr>
      <w:ind w:hanging="0" w:start="708" w:end="0"/>
    </w:pPr>
    <w:rPr/>
  </w:style>
  <w:style w:type="paragraph" w:styleId="-EnteteExpditeurGEDA">
    <w:name w:val="- Entete:Expéditeur                  GEDA"/>
    <w:basedOn w:val="Normal"/>
    <w:qFormat/>
    <w:pPr>
      <w:suppressAutoHyphens w:val="false"/>
      <w:overflowPunct w:val="true"/>
      <w:autoSpaceDE w:val="true"/>
      <w:spacing w:before="80" w:after="0"/>
      <w:jc w:val="center"/>
      <w:textAlignment w:val="auto"/>
    </w:pPr>
    <w:rPr>
      <w:rFonts w:ascii="Times New Roman" w:hAnsi="Times New Roman" w:cs="Times New Roman"/>
      <w:i/>
      <w:sz w:val="24"/>
      <w:szCs w:val="24"/>
    </w:rPr>
  </w:style>
  <w:style w:type="paragraph" w:styleId="-EnteteRapporteurGEDA">
    <w:name w:val="- Entete:Rapporteur                GEDA"/>
    <w:qFormat/>
    <w:pPr>
      <w:widowControl/>
      <w:overflowPunct w:val="false"/>
      <w:autoSpaceDE w:val="false"/>
      <w:bidi w:val="0"/>
      <w:spacing w:before="60" w:after="240"/>
      <w:jc w:val="center"/>
      <w:textAlignment w:val="baseline"/>
    </w:pPr>
    <w:rPr>
      <w:rFonts w:ascii="Times New Roman" w:hAnsi="Times New Roman" w:eastAsia="Times New Roman" w:cs="Times New Roman"/>
      <w:b/>
      <w:caps/>
      <w:color w:val="auto"/>
      <w:sz w:val="18"/>
      <w:szCs w:val="20"/>
      <w:lang w:val="fr-FR" w:bidi="ar-SA" w:eastAsia="zh-CN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9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536" w:leader="none"/>
        <w:tab w:val="right" w:pos="9072" w:leader="none"/>
      </w:tabs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1 - Modèle de délibération du conseil d'établissement (DEAP ou SDB)</dc:title>
  <dc:creator>DGEE</dc:creator>
  <cp:lastModifiedBy>DGEE</cp:lastModifiedBy>
  <dc:language>fr-FR</dc:language>
  <dcterms:modified xsi:type="dcterms:W3CDTF">2026-10-20T21:00:00Z</dcterms:modified>
</cp:coreProperties>
</file>